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A683" w14:textId="77777777" w:rsidR="00E160F3" w:rsidRDefault="00E160F3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</w:p>
    <w:p w14:paraId="5597A6F6" w14:textId="56033C38" w:rsidR="00E160F3" w:rsidRDefault="00F20A14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en-CA"/>
        </w:rPr>
        <w:t>Teno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v. Arnold</w:t>
      </w:r>
      <w:r w:rsidR="00E160F3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(1969)</w:t>
      </w:r>
    </w:p>
    <w:p w14:paraId="35ED0E20" w14:textId="710FB53A" w:rsidR="00E160F3" w:rsidRDefault="00E160F3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r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Followed by </w:t>
      </w:r>
      <w:r w:rsidR="002E2B76">
        <w:rPr>
          <w:rFonts w:ascii="Arial" w:hAnsi="Arial" w:cs="Arial"/>
          <w:b/>
          <w:color w:val="000000"/>
          <w:sz w:val="28"/>
          <w:szCs w:val="28"/>
          <w:lang w:val="en-CA"/>
        </w:rPr>
        <w:t>several</w:t>
      </w:r>
      <w:r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appeal</w:t>
      </w:r>
      <w:r w:rsidR="002E2B76">
        <w:rPr>
          <w:rFonts w:ascii="Arial" w:hAnsi="Arial" w:cs="Arial"/>
          <w:b/>
          <w:color w:val="000000"/>
          <w:sz w:val="28"/>
          <w:szCs w:val="28"/>
          <w:lang w:val="en-CA"/>
        </w:rPr>
        <w:t>s</w:t>
      </w:r>
      <w:r>
        <w:rPr>
          <w:rFonts w:ascii="Arial" w:hAnsi="Arial" w:cs="Arial"/>
          <w:b/>
          <w:color w:val="000000"/>
          <w:sz w:val="28"/>
          <w:szCs w:val="28"/>
          <w:lang w:val="en-CA"/>
        </w:rPr>
        <w:t>:</w:t>
      </w:r>
    </w:p>
    <w:p w14:paraId="0B66A5E0" w14:textId="1C73C751" w:rsidR="00E160F3" w:rsidRPr="00E160F3" w:rsidRDefault="00E160F3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r w:rsidRPr="00E160F3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Arnold v. </w:t>
      </w:r>
      <w:proofErr w:type="spellStart"/>
      <w:r w:rsidRPr="00E160F3">
        <w:rPr>
          <w:rFonts w:ascii="Arial" w:hAnsi="Arial" w:cs="Arial"/>
          <w:b/>
          <w:color w:val="000000"/>
          <w:sz w:val="28"/>
          <w:szCs w:val="28"/>
          <w:lang w:val="en-CA"/>
        </w:rPr>
        <w:t>Ten</w:t>
      </w:r>
      <w:r w:rsidR="004C7CDA">
        <w:rPr>
          <w:rFonts w:ascii="Arial" w:hAnsi="Arial" w:cs="Arial"/>
          <w:b/>
          <w:color w:val="000000"/>
          <w:sz w:val="28"/>
          <w:szCs w:val="28"/>
          <w:lang w:val="en-CA"/>
        </w:rPr>
        <w:t>o</w:t>
      </w:r>
      <w:proofErr w:type="spellEnd"/>
      <w:r w:rsidR="004C7CDA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(1</w:t>
      </w:r>
      <w:r w:rsidR="00C41A7F">
        <w:rPr>
          <w:rFonts w:ascii="Arial" w:hAnsi="Arial" w:cs="Arial"/>
          <w:b/>
          <w:color w:val="000000"/>
          <w:sz w:val="28"/>
          <w:szCs w:val="28"/>
          <w:lang w:val="en-CA"/>
        </w:rPr>
        <w:t>9</w:t>
      </w:r>
      <w:r w:rsidR="004C7CDA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78) </w:t>
      </w:r>
    </w:p>
    <w:p w14:paraId="7BF631BA" w14:textId="77777777" w:rsidR="00E160F3" w:rsidRDefault="00E160F3" w:rsidP="00C63DA4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4FCF96E9" w14:textId="1A0D04F3" w:rsidR="00C63DA4" w:rsidRPr="00C63DA4" w:rsidRDefault="00E160F3" w:rsidP="00C63DA4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On 1 Jul 1969 t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he i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nfant plaintiff, Diane </w:t>
      </w:r>
      <w:proofErr w:type="spellStart"/>
      <w:r w:rsidR="00C63DA4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, a four-and-a-half-year-old child, crossed a street with her six-year-old brother (having first obtained permission and money f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rom her mother, Yvonne </w:t>
      </w:r>
      <w:proofErr w:type="spellStart"/>
      <w:r w:rsidR="00C63DA4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to make a purchase from an ice cream vending truck owned by the def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endant J.B. Jackson Limited 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and operated by t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he defendant Stuart Galloway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. The children were served at a service window of the truck on the curb (right) side. The infant plaintiff was served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 first and while Mr. Galloway was serving her brother, Diane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left to return to the opposite side of the street. After passing around the front of the truck, she was struck by a car owned by t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he defendant Wallace Arnold and driven by his son Brian Arnold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. The car had been approaching fro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m the rear but was not seen by Mr. Galloway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through his rear windows as, at the time, he was reaching into the f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reezer to fill the order of Diane’s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brother. As a result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 of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 xml:space="preserve"> the injuries sustained by Dian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e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, her mobility was seriously lessened although technically she was not paralyzed, and she suffered a considerable degree of mental impairment.</w:t>
      </w:r>
    </w:p>
    <w:p w14:paraId="70E543C2" w14:textId="5F2D140B" w:rsidR="009B7A69" w:rsidRDefault="00C63DA4" w:rsidP="009B7A69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The trial judge </w:t>
      </w:r>
      <w:r w:rsidR="00E160F3">
        <w:rPr>
          <w:rFonts w:ascii="Arial" w:hAnsi="Arial" w:cs="Arial"/>
          <w:color w:val="000000"/>
          <w:sz w:val="27"/>
          <w:szCs w:val="27"/>
          <w:lang w:val="en-CA"/>
        </w:rPr>
        <w:t xml:space="preserve">(in 1969) 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gave judgment against the four defendants apportioning the negligence between them in the following percentages: one-third against the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 xml:space="preserve"> defendants Brian Arnold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and 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>his father Wallace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; one-third against the defendants J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>.B. Jackson (owner of the ice cream truck)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and 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 xml:space="preserve">Stuart 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G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>alloway</w:t>
      </w:r>
      <w:r w:rsidR="00DC49B7">
        <w:rPr>
          <w:rFonts w:ascii="Arial" w:hAnsi="Arial" w:cs="Arial"/>
          <w:color w:val="000000"/>
          <w:sz w:val="27"/>
          <w:szCs w:val="27"/>
          <w:lang w:val="en-CA"/>
        </w:rPr>
        <w:t xml:space="preserve"> (driver of the ice cream truck)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, and o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>ne-third against the defendant J.B Jackson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. </w:t>
      </w:r>
      <w:r w:rsidR="009B7A69">
        <w:rPr>
          <w:rFonts w:ascii="Arial" w:hAnsi="Arial" w:cs="Arial"/>
          <w:color w:val="000000"/>
          <w:sz w:val="27"/>
          <w:szCs w:val="27"/>
          <w:lang w:val="en-CA"/>
        </w:rPr>
        <w:t>Damages were awarded to Diane ($950,000)</w:t>
      </w:r>
    </w:p>
    <w:p w14:paraId="66DF5124" w14:textId="08986AB2" w:rsidR="00C63DA4" w:rsidRDefault="00F20A14" w:rsidP="00B42576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 xml:space="preserve">In 1978, 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The Court of Appeal varied the apportionm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>ent of negligence as follows: Brian and Wallace 25 per cent; J.B Jackson 25 per cent; Stuart Galloway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25 per cent and Y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 xml:space="preserve">vonne </w:t>
      </w:r>
      <w:proofErr w:type="spellStart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T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>eno</w:t>
      </w:r>
      <w:proofErr w:type="spellEnd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25 per cent.</w:t>
      </w:r>
      <w:r w:rsidR="009B7A69">
        <w:rPr>
          <w:rFonts w:ascii="Arial" w:hAnsi="Arial" w:cs="Arial"/>
          <w:color w:val="000000"/>
          <w:sz w:val="27"/>
          <w:szCs w:val="27"/>
          <w:lang w:val="en-CA"/>
        </w:rPr>
        <w:t xml:space="preserve"> Damages were reduced to $850,000.</w:t>
      </w:r>
    </w:p>
    <w:p w14:paraId="5F66DF7B" w14:textId="07A5C005" w:rsidR="009B7A69" w:rsidRDefault="009B7A69" w:rsidP="00B42576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The Tenos appealed the decision</w:t>
      </w:r>
      <w:r w:rsidR="00643B8B">
        <w:rPr>
          <w:rFonts w:ascii="Arial" w:hAnsi="Arial" w:cs="Arial"/>
          <w:color w:val="000000"/>
          <w:sz w:val="27"/>
          <w:szCs w:val="27"/>
          <w:lang w:val="en-CA"/>
        </w:rPr>
        <w:t xml:space="preserve"> to the Supreme Court of Canada</w:t>
      </w:r>
      <w:r w:rsidR="00D468FF">
        <w:rPr>
          <w:rFonts w:ascii="Arial" w:hAnsi="Arial" w:cs="Arial"/>
          <w:color w:val="000000"/>
          <w:sz w:val="27"/>
          <w:szCs w:val="27"/>
          <w:lang w:val="en-CA"/>
        </w:rPr>
        <w:t xml:space="preserve">, where the </w:t>
      </w:r>
      <w:r w:rsidR="00F628CE">
        <w:rPr>
          <w:rFonts w:ascii="Arial" w:hAnsi="Arial" w:cs="Arial"/>
          <w:color w:val="000000"/>
          <w:sz w:val="27"/>
          <w:szCs w:val="27"/>
          <w:lang w:val="en-CA"/>
        </w:rPr>
        <w:t>Court of Ap</w:t>
      </w:r>
      <w:r w:rsidR="002D44A7">
        <w:rPr>
          <w:rFonts w:ascii="Arial" w:hAnsi="Arial" w:cs="Arial"/>
          <w:color w:val="000000"/>
          <w:sz w:val="27"/>
          <w:szCs w:val="27"/>
          <w:lang w:val="en-CA"/>
        </w:rPr>
        <w:t>p</w:t>
      </w:r>
      <w:r w:rsidR="00F628CE">
        <w:rPr>
          <w:rFonts w:ascii="Arial" w:hAnsi="Arial" w:cs="Arial"/>
          <w:color w:val="000000"/>
          <w:sz w:val="27"/>
          <w:szCs w:val="27"/>
          <w:lang w:val="en-CA"/>
        </w:rPr>
        <w:t xml:space="preserve">eal decision was overturned. The Supreme Court ruled that Mrs. </w:t>
      </w:r>
      <w:proofErr w:type="spellStart"/>
      <w:r w:rsidR="00F628CE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F628CE">
        <w:rPr>
          <w:rFonts w:ascii="Arial" w:hAnsi="Arial" w:cs="Arial"/>
          <w:color w:val="000000"/>
          <w:sz w:val="27"/>
          <w:szCs w:val="27"/>
          <w:lang w:val="en-CA"/>
        </w:rPr>
        <w:t xml:space="preserve"> could not be </w:t>
      </w:r>
      <w:r w:rsidR="00965B69">
        <w:rPr>
          <w:rFonts w:ascii="Arial" w:hAnsi="Arial" w:cs="Arial"/>
          <w:color w:val="000000"/>
          <w:sz w:val="27"/>
          <w:szCs w:val="27"/>
          <w:lang w:val="en-CA"/>
        </w:rPr>
        <w:t>b</w:t>
      </w:r>
      <w:r w:rsidR="00F628CE">
        <w:rPr>
          <w:rFonts w:ascii="Arial" w:hAnsi="Arial" w:cs="Arial"/>
          <w:color w:val="000000"/>
          <w:sz w:val="27"/>
          <w:szCs w:val="27"/>
          <w:lang w:val="en-CA"/>
        </w:rPr>
        <w:t>lamed</w:t>
      </w:r>
      <w:r w:rsidR="00965B69">
        <w:rPr>
          <w:rFonts w:ascii="Arial" w:hAnsi="Arial" w:cs="Arial"/>
          <w:color w:val="000000"/>
          <w:sz w:val="27"/>
          <w:szCs w:val="27"/>
          <w:lang w:val="en-CA"/>
        </w:rPr>
        <w:t xml:space="preserve"> for the accident, but all other defendants were still held liable. The damages were further reduced to $540,000.</w:t>
      </w:r>
    </w:p>
    <w:p w14:paraId="6AD5C5F1" w14:textId="77DF268E" w:rsidR="00B4351F" w:rsidRPr="00B4351F" w:rsidRDefault="00B4351F" w:rsidP="00B4351F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32"/>
          <w:szCs w:val="32"/>
          <w:lang w:val="en-CA"/>
        </w:rPr>
      </w:pPr>
      <w:r w:rsidRPr="00B4351F">
        <w:rPr>
          <w:rFonts w:ascii="Arial" w:hAnsi="Arial" w:cs="Arial"/>
          <w:b/>
          <w:color w:val="000000"/>
          <w:sz w:val="32"/>
          <w:szCs w:val="32"/>
          <w:lang w:val="en-CA"/>
        </w:rPr>
        <w:lastRenderedPageBreak/>
        <w:t>Think carefully, answer based on what you know…</w:t>
      </w:r>
    </w:p>
    <w:p w14:paraId="261790EF" w14:textId="77777777" w:rsidR="00B4351F" w:rsidRDefault="00B4351F" w:rsidP="00B42576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1638EF4C" w14:textId="6E5AFA9C" w:rsidR="00B4351F" w:rsidRDefault="00E64869" w:rsidP="00B435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B4351F">
        <w:rPr>
          <w:rFonts w:ascii="Arial" w:hAnsi="Arial" w:cs="Arial"/>
          <w:color w:val="000000"/>
          <w:sz w:val="27"/>
          <w:szCs w:val="27"/>
          <w:lang w:val="en-CA"/>
        </w:rPr>
        <w:t>Why were Brian and Wallace Arnold held one third at fault?</w:t>
      </w:r>
      <w:r w:rsidR="002E2B76">
        <w:rPr>
          <w:rFonts w:ascii="Arial" w:hAnsi="Arial" w:cs="Arial"/>
          <w:color w:val="000000"/>
          <w:sz w:val="27"/>
          <w:szCs w:val="27"/>
          <w:lang w:val="en-CA"/>
        </w:rPr>
        <w:t xml:space="preserve"> Why? I know it’s because of Vicarious Liability, but why does this e</w:t>
      </w:r>
      <w:r w:rsidR="00C41A7F">
        <w:rPr>
          <w:rFonts w:ascii="Arial" w:hAnsi="Arial" w:cs="Arial"/>
          <w:color w:val="000000"/>
          <w:sz w:val="27"/>
          <w:szCs w:val="27"/>
          <w:lang w:val="en-CA"/>
        </w:rPr>
        <w:t>x</w:t>
      </w:r>
      <w:bookmarkStart w:id="0" w:name="_GoBack"/>
      <w:bookmarkEnd w:id="0"/>
      <w:r w:rsidR="002E2B76">
        <w:rPr>
          <w:rFonts w:ascii="Arial" w:hAnsi="Arial" w:cs="Arial"/>
          <w:color w:val="000000"/>
          <w:sz w:val="27"/>
          <w:szCs w:val="27"/>
          <w:lang w:val="en-CA"/>
        </w:rPr>
        <w:t>ist?</w:t>
      </w:r>
    </w:p>
    <w:p w14:paraId="75A25326" w14:textId="77777777" w:rsidR="002E2B76" w:rsidRPr="002E2B76" w:rsidRDefault="002E2B76" w:rsidP="002E2B76">
      <w:pPr>
        <w:pStyle w:val="ListParagraph"/>
        <w:spacing w:before="100" w:beforeAutospacing="1" w:after="100" w:afterAutospacing="1"/>
        <w:ind w:left="922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73E83569" w14:textId="77777777" w:rsidR="002E2B76" w:rsidRDefault="002D44A7" w:rsidP="002E2B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Why were J.B. Jackson Ltd. And Stuart Galloway also each held one third at fault?</w:t>
      </w:r>
      <w:r w:rsidR="002E2B76">
        <w:rPr>
          <w:rFonts w:ascii="Arial" w:hAnsi="Arial" w:cs="Arial"/>
          <w:color w:val="000000"/>
          <w:sz w:val="27"/>
          <w:szCs w:val="27"/>
          <w:lang w:val="en-CA"/>
        </w:rPr>
        <w:t xml:space="preserve"> I know about Vicarious Liability…</w:t>
      </w:r>
    </w:p>
    <w:p w14:paraId="2E55EEF6" w14:textId="77777777" w:rsidR="002E2B76" w:rsidRPr="002E2B76" w:rsidRDefault="002E2B76" w:rsidP="002E2B76">
      <w:pPr>
        <w:pStyle w:val="ListParagraph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171E2B12" w14:textId="26966D34" w:rsidR="002E2B76" w:rsidRPr="002E2B76" w:rsidRDefault="00027757" w:rsidP="002E2B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Should Diane </w:t>
      </w:r>
      <w:proofErr w:type="spellStart"/>
      <w:r w:rsidRPr="002E2B76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have been held partly responsible for her own accident? Why or why not</w:t>
      </w:r>
      <w:r w:rsidR="002E2B76" w:rsidRPr="002E2B76">
        <w:rPr>
          <w:rFonts w:ascii="Arial" w:hAnsi="Arial" w:cs="Arial"/>
          <w:color w:val="000000"/>
          <w:sz w:val="27"/>
          <w:szCs w:val="27"/>
          <w:lang w:val="en-CA"/>
        </w:rPr>
        <w:t>?</w:t>
      </w:r>
    </w:p>
    <w:p w14:paraId="3C2C659F" w14:textId="77777777" w:rsidR="002E2B76" w:rsidRDefault="002E2B76" w:rsidP="002E2B76">
      <w:pPr>
        <w:pStyle w:val="ListParagraph"/>
        <w:spacing w:before="100" w:beforeAutospacing="1" w:after="100" w:afterAutospacing="1"/>
        <w:ind w:left="922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6D1BBAA4" w14:textId="77777777" w:rsidR="002E2B76" w:rsidRDefault="00027757" w:rsidP="002E2B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2E2B76">
        <w:rPr>
          <w:rFonts w:ascii="Arial" w:hAnsi="Arial" w:cs="Arial"/>
          <w:color w:val="000000"/>
          <w:sz w:val="27"/>
          <w:szCs w:val="27"/>
          <w:lang w:val="en-CA"/>
        </w:rPr>
        <w:t>Why did the court of Appeal</w:t>
      </w:r>
      <w:r w:rsidR="00BE36C2"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find Yvonne </w:t>
      </w:r>
      <w:proofErr w:type="spellStart"/>
      <w:r w:rsidR="00BE36C2" w:rsidRPr="002E2B76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BE36C2"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at fault for the accident?</w:t>
      </w:r>
    </w:p>
    <w:p w14:paraId="5BD4257B" w14:textId="77777777" w:rsidR="002E2B76" w:rsidRPr="002E2B76" w:rsidRDefault="002E2B76" w:rsidP="002E2B76">
      <w:pPr>
        <w:pStyle w:val="ListParagraph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64F73C24" w14:textId="77777777" w:rsidR="002E2B76" w:rsidRDefault="00BE36C2" w:rsidP="002E2B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2E2B76">
        <w:rPr>
          <w:rFonts w:ascii="Arial" w:hAnsi="Arial" w:cs="Arial"/>
          <w:color w:val="000000"/>
          <w:sz w:val="27"/>
          <w:szCs w:val="27"/>
          <w:lang w:val="en-CA"/>
        </w:rPr>
        <w:t>Why do you think the Supreme Court reversed this decision? Do you agree? Explain.</w:t>
      </w:r>
    </w:p>
    <w:p w14:paraId="7BCB29B6" w14:textId="77777777" w:rsidR="002E2B76" w:rsidRPr="002E2B76" w:rsidRDefault="002E2B76" w:rsidP="002E2B76">
      <w:pPr>
        <w:pStyle w:val="ListParagraph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21B7457C" w14:textId="77777777" w:rsidR="002E2B76" w:rsidRDefault="00B4351F" w:rsidP="002E2B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Why were the damages </w:t>
      </w:r>
      <w:proofErr w:type="gramStart"/>
      <w:r w:rsidRPr="002E2B76">
        <w:rPr>
          <w:rFonts w:ascii="Arial" w:hAnsi="Arial" w:cs="Arial"/>
          <w:color w:val="000000"/>
          <w:sz w:val="27"/>
          <w:szCs w:val="27"/>
          <w:lang w:val="en-CA"/>
        </w:rPr>
        <w:t>reduced</w:t>
      </w:r>
      <w:proofErr w:type="gramEnd"/>
      <w:r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each time the case went to court from 1969 to 1978? </w:t>
      </w:r>
      <w:r w:rsidR="002E2B76" w:rsidRPr="002E2B76">
        <w:rPr>
          <w:rFonts w:ascii="Arial" w:hAnsi="Arial" w:cs="Arial"/>
          <w:color w:val="000000"/>
          <w:sz w:val="27"/>
          <w:szCs w:val="27"/>
          <w:lang w:val="en-CA"/>
        </w:rPr>
        <w:t>There could be more than one reason.</w:t>
      </w:r>
    </w:p>
    <w:p w14:paraId="0EF17553" w14:textId="77777777" w:rsidR="002E2B76" w:rsidRPr="002E2B76" w:rsidRDefault="002E2B76" w:rsidP="002E2B76">
      <w:pPr>
        <w:pStyle w:val="ListParagraph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046A7F97" w14:textId="35CD580A" w:rsidR="00BE36C2" w:rsidRPr="002E2B76" w:rsidRDefault="00BE36C2" w:rsidP="002E2B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Explain the meaning of the following statement from the Court of Appeal as it relates to </w:t>
      </w:r>
      <w:r w:rsidR="00F71F8E" w:rsidRPr="002E2B76">
        <w:rPr>
          <w:rFonts w:ascii="Arial" w:hAnsi="Arial" w:cs="Arial"/>
          <w:color w:val="000000"/>
          <w:sz w:val="27"/>
          <w:szCs w:val="27"/>
          <w:lang w:val="en-CA"/>
        </w:rPr>
        <w:t>liabil</w:t>
      </w:r>
      <w:r w:rsidR="00A50326" w:rsidRPr="002E2B76">
        <w:rPr>
          <w:rFonts w:ascii="Arial" w:hAnsi="Arial" w:cs="Arial"/>
          <w:color w:val="000000"/>
          <w:sz w:val="27"/>
          <w:szCs w:val="27"/>
          <w:lang w:val="en-CA"/>
        </w:rPr>
        <w:t>i</w:t>
      </w:r>
      <w:r w:rsidR="00F71F8E" w:rsidRPr="002E2B76">
        <w:rPr>
          <w:rFonts w:ascii="Arial" w:hAnsi="Arial" w:cs="Arial"/>
          <w:color w:val="000000"/>
          <w:sz w:val="27"/>
          <w:szCs w:val="27"/>
          <w:lang w:val="en-CA"/>
        </w:rPr>
        <w:t>t</w:t>
      </w:r>
      <w:r w:rsidR="00A50326"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y in this case, “A pied piper cannot plead his </w:t>
      </w:r>
      <w:r w:rsidR="004A5E93" w:rsidRPr="002E2B76">
        <w:rPr>
          <w:rFonts w:ascii="Arial" w:hAnsi="Arial" w:cs="Arial"/>
          <w:color w:val="000000"/>
          <w:sz w:val="27"/>
          <w:szCs w:val="27"/>
          <w:lang w:val="en-CA"/>
        </w:rPr>
        <w:t>inability</w:t>
      </w:r>
      <w:r w:rsidR="00D03C72"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to care </w:t>
      </w:r>
      <w:r w:rsidR="00452C71" w:rsidRPr="002E2B76">
        <w:rPr>
          <w:rFonts w:ascii="Arial" w:hAnsi="Arial" w:cs="Arial"/>
          <w:color w:val="000000"/>
          <w:sz w:val="27"/>
          <w:szCs w:val="27"/>
          <w:lang w:val="en-CA"/>
        </w:rPr>
        <w:t>for</w:t>
      </w:r>
      <w:r w:rsidR="00627FAE"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his</w:t>
      </w:r>
      <w:r w:rsidR="006811BA" w:rsidRPr="002E2B76">
        <w:rPr>
          <w:rFonts w:ascii="Arial" w:hAnsi="Arial" w:cs="Arial"/>
          <w:color w:val="000000"/>
          <w:sz w:val="27"/>
          <w:szCs w:val="27"/>
          <w:lang w:val="en-CA"/>
        </w:rPr>
        <w:t xml:space="preserve"> followers when it was he who played the flute!”. (look up the “pied piper” story…</w:t>
      </w:r>
      <w:r w:rsidR="00452C71" w:rsidRPr="002E2B76">
        <w:rPr>
          <w:rFonts w:ascii="Arial" w:hAnsi="Arial" w:cs="Arial"/>
          <w:color w:val="000000"/>
          <w:sz w:val="27"/>
          <w:szCs w:val="27"/>
          <w:lang w:val="en-CA"/>
        </w:rPr>
        <w:t>something about a person playing a “flute” and luring children away from a village…in other words, children will always respond to the music and make their way toward the sound…like the music coming from an ice cream truck.</w:t>
      </w:r>
      <w:r w:rsidR="006811BA" w:rsidRPr="002E2B76">
        <w:rPr>
          <w:rFonts w:ascii="Arial" w:hAnsi="Arial" w:cs="Arial"/>
          <w:color w:val="000000"/>
          <w:sz w:val="27"/>
          <w:szCs w:val="27"/>
          <w:lang w:val="en-CA"/>
        </w:rPr>
        <w:t>)</w:t>
      </w:r>
    </w:p>
    <w:p w14:paraId="2038C41F" w14:textId="77777777" w:rsidR="00D6729E" w:rsidRDefault="00D6729E"/>
    <w:sectPr w:rsidR="00D6729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0FA"/>
    <w:multiLevelType w:val="hybridMultilevel"/>
    <w:tmpl w:val="DE3C3D98"/>
    <w:lvl w:ilvl="0" w:tplc="BF58130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A4"/>
    <w:rsid w:val="00027757"/>
    <w:rsid w:val="00292B10"/>
    <w:rsid w:val="002D44A7"/>
    <w:rsid w:val="002E2B76"/>
    <w:rsid w:val="00345A4F"/>
    <w:rsid w:val="0035433D"/>
    <w:rsid w:val="00452C71"/>
    <w:rsid w:val="004A5E93"/>
    <w:rsid w:val="004C7CDA"/>
    <w:rsid w:val="00627FAE"/>
    <w:rsid w:val="00643B8B"/>
    <w:rsid w:val="006811BA"/>
    <w:rsid w:val="00936369"/>
    <w:rsid w:val="00965B69"/>
    <w:rsid w:val="009B2AA9"/>
    <w:rsid w:val="009B7A69"/>
    <w:rsid w:val="00A35259"/>
    <w:rsid w:val="00A50326"/>
    <w:rsid w:val="00B42576"/>
    <w:rsid w:val="00B4351F"/>
    <w:rsid w:val="00BE36C2"/>
    <w:rsid w:val="00C41A7F"/>
    <w:rsid w:val="00C63DA4"/>
    <w:rsid w:val="00D03C72"/>
    <w:rsid w:val="00D35FFA"/>
    <w:rsid w:val="00D468FF"/>
    <w:rsid w:val="00D6729E"/>
    <w:rsid w:val="00DC49B7"/>
    <w:rsid w:val="00E160F3"/>
    <w:rsid w:val="00E64869"/>
    <w:rsid w:val="00F20A14"/>
    <w:rsid w:val="00F628CE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E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C63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3</cp:revision>
  <dcterms:created xsi:type="dcterms:W3CDTF">2019-05-10T17:33:00Z</dcterms:created>
  <dcterms:modified xsi:type="dcterms:W3CDTF">2019-05-13T18:23:00Z</dcterms:modified>
</cp:coreProperties>
</file>